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19F" w:rsidRDefault="007C6049">
      <w:pPr>
        <w:tabs>
          <w:tab w:val="center" w:pos="6979"/>
          <w:tab w:val="left" w:pos="10860"/>
        </w:tabs>
        <w:jc w:val="left"/>
        <w:rPr>
          <w:b/>
          <w:bCs/>
          <w:sz w:val="32"/>
        </w:rPr>
      </w:pPr>
      <w:bookmarkStart w:id="0" w:name="_GoBack"/>
      <w:bookmarkEnd w:id="0"/>
      <w:r>
        <w:rPr>
          <w:rFonts w:hint="eastAsia"/>
          <w:b/>
          <w:bCs/>
          <w:sz w:val="32"/>
        </w:rPr>
        <w:t>附件</w:t>
      </w:r>
      <w:r>
        <w:rPr>
          <w:rFonts w:hint="eastAsia"/>
          <w:b/>
          <w:bCs/>
          <w:sz w:val="32"/>
        </w:rPr>
        <w:t>3</w:t>
      </w:r>
    </w:p>
    <w:p w:rsidR="00ED019F" w:rsidRDefault="007C6049">
      <w:pPr>
        <w:tabs>
          <w:tab w:val="center" w:pos="6979"/>
          <w:tab w:val="left" w:pos="10860"/>
        </w:tabs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江苏省肢体（脑瘫）康复机构分级标准</w:t>
      </w:r>
    </w:p>
    <w:tbl>
      <w:tblPr>
        <w:tblW w:w="155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133"/>
        <w:gridCol w:w="3825"/>
        <w:gridCol w:w="4055"/>
        <w:gridCol w:w="4161"/>
        <w:gridCol w:w="709"/>
        <w:gridCol w:w="700"/>
      </w:tblGrid>
      <w:tr w:rsidR="00ED019F">
        <w:trPr>
          <w:tblHeader/>
        </w:trPr>
        <w:tc>
          <w:tcPr>
            <w:tcW w:w="992" w:type="dxa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主指标</w:t>
            </w:r>
          </w:p>
        </w:tc>
        <w:tc>
          <w:tcPr>
            <w:tcW w:w="1133" w:type="dxa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分指标</w:t>
            </w:r>
          </w:p>
        </w:tc>
        <w:tc>
          <w:tcPr>
            <w:tcW w:w="3825" w:type="dxa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三级</w:t>
            </w:r>
          </w:p>
        </w:tc>
        <w:tc>
          <w:tcPr>
            <w:tcW w:w="4055" w:type="dxa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二级</w:t>
            </w:r>
          </w:p>
        </w:tc>
        <w:tc>
          <w:tcPr>
            <w:tcW w:w="4161" w:type="dxa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一级</w:t>
            </w:r>
          </w:p>
        </w:tc>
        <w:tc>
          <w:tcPr>
            <w:tcW w:w="709" w:type="dxa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分值</w:t>
            </w:r>
          </w:p>
        </w:tc>
        <w:tc>
          <w:tcPr>
            <w:tcW w:w="700" w:type="dxa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得分</w:t>
            </w:r>
          </w:p>
        </w:tc>
      </w:tr>
      <w:tr w:rsidR="00ED019F">
        <w:trPr>
          <w:trHeight w:val="1176"/>
        </w:trPr>
        <w:tc>
          <w:tcPr>
            <w:tcW w:w="992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从业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资格</w:t>
            </w: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napToGrid w:val="0"/>
                <w:spacing w:val="-20"/>
                <w:kern w:val="0"/>
                <w:sz w:val="24"/>
              </w:rPr>
              <w:t>必达条件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1.政府相关职能部门注册登记；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2.有独立法人资格；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3.有教育或医疗资质。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1.政府相关职能部门注册登记；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2.有独立法人资格；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3.有教育或医疗资质。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1.政府相关职能部门注册登记；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2.有独立法人资格。</w:t>
            </w:r>
          </w:p>
        </w:tc>
        <w:tc>
          <w:tcPr>
            <w:tcW w:w="1409" w:type="dxa"/>
            <w:gridSpan w:val="2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一项不具备不达该级</w:t>
            </w:r>
          </w:p>
        </w:tc>
      </w:tr>
      <w:tr w:rsidR="00ED019F" w:rsidTr="004F71D7">
        <w:trPr>
          <w:trHeight w:val="1289"/>
        </w:trPr>
        <w:tc>
          <w:tcPr>
            <w:tcW w:w="992" w:type="dxa"/>
            <w:vMerge w:val="restart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制度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建设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kern w:val="24"/>
                <w:sz w:val="24"/>
              </w:rPr>
              <w:t>7分）</w:t>
            </w:r>
          </w:p>
        </w:tc>
        <w:tc>
          <w:tcPr>
            <w:tcW w:w="1133" w:type="dxa"/>
            <w:vAlign w:val="center"/>
          </w:tcPr>
          <w:p w:rsidR="00ED019F" w:rsidRDefault="007C6049">
            <w:pPr>
              <w:autoSpaceDN w:val="0"/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napToGrid w:val="0"/>
                <w:spacing w:val="-20"/>
                <w:kern w:val="0"/>
                <w:sz w:val="24"/>
              </w:rPr>
              <w:t>机构管理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1.有财务管理、卫生保健、应急处置等规章制度；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2.有人员岗位职责；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3.有康复服务规程。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1.有财务管理、卫生保健、应急处置等规章制度； 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2.有人员岗位职责；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3.有康复服务规程。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1.有财务管理、卫生保健、应急处置等规章制度； 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2.有人员岗位职责；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3.有康复服务规程。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1780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kern w:val="24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autoSpaceDN w:val="0"/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经费管理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1.有项目经费、固定资产管理制度；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2.项目经费专款专用，按规定用途开支；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3.项目经费收支手续完整齐全；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4.有项目经费年度审计报告。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1.有项目经费、固定资产管理制度；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2.项目经费专款专用，按规定用途开支；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3.项目经费收支手续完整齐全；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4.有项目经费年度审计报告。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1.有项目经费、固定资产管理制度；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2.项目经费专款专用，按规定用途开支；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3.项目经费收支手续完整齐全；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4.有项目经费年度审计报告。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694"/>
        </w:trPr>
        <w:tc>
          <w:tcPr>
            <w:tcW w:w="992" w:type="dxa"/>
            <w:vMerge w:val="restart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规模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与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功能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17"/>
                <w:szCs w:val="21"/>
              </w:rPr>
              <w:t>（23分）</w:t>
            </w: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napToGrid w:val="0"/>
                <w:spacing w:val="-20"/>
                <w:kern w:val="0"/>
                <w:sz w:val="24"/>
              </w:rPr>
              <w:t>康复规模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常年在训人数100人以上。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常年在训人数60以上。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常年在训人数20人以上。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3053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napToGrid w:val="0"/>
                <w:spacing w:val="-20"/>
                <w:kern w:val="0"/>
                <w:sz w:val="24"/>
              </w:rPr>
              <w:t>场地面积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建筑面积4800平方米以上，业务用房4000平方米以上，室外活动场地200平方米以上。其中：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运动治疗室面积200平方米以上；作业治疗室面积150平方米以上；言语治疗室面积50平方米以上；培训室面积100平方米以上；多功能室（评估、咨询等）面积90平方米以上。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建筑面积2900平方米，业务用房2100平方米以上。室外活动场地150平方米以上。其中：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运动治疗室面积120平方米以上；作业治疗室面积100平方米以上；言语治疗室面积30平方米以上；培训室面积60平方米以上；多功能室（评估、咨询等）面积70平方米以上。</w:t>
            </w:r>
          </w:p>
        </w:tc>
        <w:tc>
          <w:tcPr>
            <w:tcW w:w="4161" w:type="dxa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建筑面积1000平方米以上，业务用房700平方米以上。室外活动场地100平方米以上。其中：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运动治疗室至少一间，面积40平方米以上；作业治疗室至少一间，面积30平方米以上；言语治疗室至少一间，面积10平方米以上；培训室至少一间，面积20平方米以上；多功能室（评估、咨询等）一间，面积15平方米以上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napToGrid w:val="0"/>
                <w:spacing w:val="-20"/>
                <w:kern w:val="0"/>
                <w:sz w:val="24"/>
              </w:rPr>
              <w:t>12分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i/>
                <w:sz w:val="24"/>
              </w:rPr>
            </w:pPr>
          </w:p>
        </w:tc>
      </w:tr>
      <w:tr w:rsidR="00ED019F">
        <w:trPr>
          <w:trHeight w:val="3295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napToGrid w:val="0"/>
                <w:spacing w:val="-20"/>
                <w:kern w:val="0"/>
                <w:sz w:val="24"/>
              </w:rPr>
              <w:t>功能设置</w:t>
            </w:r>
          </w:p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napToGrid w:val="0"/>
                <w:spacing w:val="-20"/>
                <w:kern w:val="0"/>
                <w:sz w:val="24"/>
              </w:rPr>
            </w:pPr>
          </w:p>
        </w:tc>
        <w:tc>
          <w:tcPr>
            <w:tcW w:w="3825" w:type="dxa"/>
            <w:vAlign w:val="center"/>
          </w:tcPr>
          <w:p w:rsidR="00ED019F" w:rsidRDefault="007C6049">
            <w:pPr>
              <w:numPr>
                <w:ilvl w:val="0"/>
                <w:numId w:val="1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功能评定室、理疗室、运动疗法室、作业疗法室、言语治疗室，传统中医治疗室、感觉统合训练室、水疗室、听觉统和训练室、融合教育训练室、美工教室、引导式教育室、沙池、情景训练室、辅具适配室、治疗师办公室、资料档案室、康复技术培训室（实习教室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儿童生活用房：包括餐厅、寝室、厕所等、卫生保健室（含隔离室）。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1.功能评定室、作业疗法室、言语治疗室，感觉统合训练室、文体活动室、引导式教育室、沙池（球池）、情景训练室、治疗师办公室、资料档案室、康复技术培训室（家长培训室）；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儿童生活用房：包括餐厅、寝室、厕所等、卫生保健室（含隔离室）。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1.功能评定室、作业疗法室、语言治疗室，感觉统合训练室、引导式教育室、文体活动室、沙池（球池）、情景训练室、治疗师办公室、资料档案室、康复技术培训室（家长培训室）；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儿童生活用房：包括餐厅、寝室、厕所等。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2664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安全要求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1.儿童康复机构符合国家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《托儿所、幼儿园建筑设计规范》[(87)城设字第466号]及国家现行有关设计规范和强制性标准，有条件的应在3层以下；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2.符合国家无障碍通行要求；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3.在机构康复的人员办理意外伤害保险。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1.儿童康复机构符合国家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《托儿所、幼儿园建筑设计规范》[(87)城设字第466号]及国家现行有关设计规范和强制性标准，有条件的应在3层以下；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2.符合国家无障碍通行要求；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trike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3.在机构康复的人员办理意外伤害保险。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1.儿童康复机构符合国家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《托儿所、幼儿园建筑设计规范》[(87)城设字第466号]及国家现行有关设计规范和强制性标准，有条件的应在3层以下；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2.符合国家无障碍通行要求；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3.在机构康复的人员办理意外伤害保险。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1685"/>
        </w:trPr>
        <w:tc>
          <w:tcPr>
            <w:tcW w:w="992" w:type="dxa"/>
            <w:vMerge w:val="restart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康复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设备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kern w:val="24"/>
                <w:sz w:val="24"/>
              </w:rPr>
              <w:t>（10分）</w:t>
            </w: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康复评估设备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常规功能测试工具、全套粗大运动评估工具、全套精细运动评估工具；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2.全套语言评估工具、全套智能/学前概念评估工具、全套自理/社交评估工具。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1.常规功能测试工具、粗大运动评估量表、精细运动评估量表；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2.语言评估量表、智能/学前概念评估量表、自理/社交评估量表。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1.常规功能测试工具、粗大运动评估工具、精细运动评估工具；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2.语言评估量表、智能/学前概念评估量表。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1825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康复训练设备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1.运动疗法设备、作业治疗设备、物理治疗设备；</w:t>
            </w:r>
          </w:p>
          <w:p w:rsidR="00ED019F" w:rsidRDefault="007C6049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2.引导式教育设备、言语治疗设备、认知训练设备、感觉统合训练设备；</w:t>
            </w:r>
          </w:p>
          <w:p w:rsidR="00ED019F" w:rsidRDefault="007C6049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中医传统治疗设备、音乐治疗设备。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1.运动治疗设备、作业治疗设备、物理治疗设备；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2.引导式教育设备、言语治疗设备、感觉统合训练设备；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3.音乐治疗设备。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1.运动治疗设备、作业治疗设备、物理治疗设备；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2.引导式教育设备、感觉统合训练设备。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教学设备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1.黑板、电视机；</w:t>
            </w:r>
          </w:p>
          <w:p w:rsidR="00ED019F" w:rsidRDefault="007C6049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2.DVD机、录音机或数码录音笔；</w:t>
            </w:r>
          </w:p>
          <w:p w:rsidR="00ED019F" w:rsidRDefault="007C6049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3.电子琴、玩教具；</w:t>
            </w:r>
          </w:p>
          <w:p w:rsidR="00ED019F" w:rsidRDefault="007C6049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4.钢琴、电脑、投影仪　数码照相机、数码摄像机。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1.黑板、电视机；</w:t>
            </w:r>
          </w:p>
          <w:p w:rsidR="00ED019F" w:rsidRDefault="007C6049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2.DVD机、录音机或数码录音笔；</w:t>
            </w:r>
          </w:p>
          <w:p w:rsidR="00ED019F" w:rsidRDefault="007C6049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3.电子琴、玩教具；</w:t>
            </w:r>
          </w:p>
          <w:p w:rsidR="00ED019F" w:rsidRDefault="007C6049" w:rsidP="008D3EA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4.电脑、投影仪</w:t>
            </w:r>
            <w:r w:rsidR="008D3EAA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数码照相机、数码摄像机。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1.黑板、电视机；</w:t>
            </w:r>
          </w:p>
          <w:p w:rsidR="00ED019F" w:rsidRDefault="007C6049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2.DVD机、录音机或数码录音笔、钢琴电脑、投影仪、数码摄像机；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3.电子琴、玩教具。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90"/>
        </w:trPr>
        <w:tc>
          <w:tcPr>
            <w:tcW w:w="992" w:type="dxa"/>
            <w:vMerge w:val="restart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专业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建设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（13分）</w:t>
            </w: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人员配置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1.机构工作人员均应签有用工合同，并按规定参加相社会应保险；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2.师生配比1：6，专业技术人员占总职工人数70%以上；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3.配备中医推拿、针灸医师、康复工程师；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4.保育员50周岁以下，身体健康。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1.机构工作人员均应签有用工合同，并按规定参加相应社会保险；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2.师生配比1：8，专业技术人员占总职工人数70%以上；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3.保育员50周岁以下，身体健康。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1.机构工作人员均应签有用工合同，并按规定参加相应社会保险；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2.师生配比1：8，专业技术人员占总职工人数70%以上；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3.保育员50周岁以下，身体健康。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专业人员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1. 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业技术人员应具有特殊教育专业、幼儿教育专业、康复医疗专业或应用心理等大专或以上学历；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2.专业人员应取得教师资格证或医疗执业资格证；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3.从事脑瘫康复工作3年以上占总专业技术人员60%以上；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4.中级以上专业技术职称占总专业技术人员20%以上；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5.医疗资质康复机构有20%以上特殊教育教师。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 xml:space="preserve"> 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业技术人员应具有特殊教育专业、幼儿教育专业、康复医疗专业或应用心理等大专或以上学历； 2.专业人员应取得教师资格证或医疗执业资格证；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3.从事脑瘫康复工作 3年以上占总专业技术人员40%以上；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4.中级以上专业技术职称占总专业技术人员10%以上；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5.医疗资质康复机构有20%以上特殊教育教师。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 xml:space="preserve"> 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业技术人员应具有特殊教育专业、幼儿教育专业、康复医疗专业或应用心理等大专或以上学历； 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2.专业人员应取得教师资格证或医疗执业资格证；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3.从事脑瘫康复工作 3年以上占总专业技术人员30%以上；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4.受过省辖市级以上残联系统组织的专业技术培训；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5.医疗资质康复机构有15%以上特殊教育教师。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886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highlight w:val="yellow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教研培训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1.建立专业技术人员继续教育和业务学习登记管理制度，按年度登记，资料保存完整；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2.有计划地派出专业</w:t>
            </w:r>
            <w:r w:rsidR="008D3EAA">
              <w:rPr>
                <w:rFonts w:ascii="仿宋_GB2312" w:eastAsia="仿宋_GB2312" w:hAnsi="仿宋_GB2312" w:cs="仿宋_GB2312" w:hint="eastAsia"/>
                <w:sz w:val="24"/>
              </w:rPr>
              <w:t>技术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人员参加国家、省、市残联组织的业务培训；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3.每年有30%以上的专业技术人员参加各类相关技术的继续教育，继续教育学分10分以上；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4.100%的专业技术人员每年业务学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习时间72学时以上；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定期组织专业</w:t>
            </w:r>
            <w:r w:rsidR="008D3EAA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技术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人员开展康复教学研究、学术交流和新技术应用，机构有业务活动内容及参加人员记录。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1.建立专业技术人员继续教育和业务学习登记管理制度，按年度登记，资料保存完整；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2.有计划地派出专业</w:t>
            </w:r>
            <w:r w:rsidR="008D3EAA">
              <w:rPr>
                <w:rFonts w:ascii="仿宋_GB2312" w:eastAsia="仿宋_GB2312" w:hAnsi="仿宋_GB2312" w:cs="仿宋_GB2312" w:hint="eastAsia"/>
                <w:sz w:val="24"/>
              </w:rPr>
              <w:t>技术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人员参加国家、省、市残联组织的业务培训：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3.每年有20%以上的专业技术人员参加各类相关技术的继续教育，继续教育学分10分以上；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4.100%的专业技术人员每年业务学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习时间40</w:t>
            </w:r>
            <w:r w:rsidR="00D975A5">
              <w:rPr>
                <w:rFonts w:ascii="仿宋_GB2312" w:eastAsia="仿宋_GB2312" w:hAnsi="仿宋_GB2312" w:cs="仿宋_GB2312" w:hint="eastAsia"/>
                <w:sz w:val="24"/>
              </w:rPr>
              <w:t>学时以上。</w:t>
            </w:r>
          </w:p>
          <w:p w:rsidR="00ED019F" w:rsidRDefault="00ED019F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1.建立专业技术人员继续教育和业务学习登记管理制度，按年度登记，资料保存完整；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2.有计划地派出专业</w:t>
            </w:r>
            <w:r w:rsidR="008D3EAA">
              <w:rPr>
                <w:rFonts w:ascii="仿宋_GB2312" w:eastAsia="仿宋_GB2312" w:hAnsi="仿宋_GB2312" w:cs="仿宋_GB2312" w:hint="eastAsia"/>
                <w:sz w:val="24"/>
              </w:rPr>
              <w:t>技术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人员参加国家、省、市残联组织的业务培训；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3.每年有 10%以上的专业技术人员参加各类相关技术的继续教育，继续教育学分5分以上；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4.100%的专业技术人员每年业务学习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时间40</w:t>
            </w:r>
            <w:r w:rsidR="00D975A5">
              <w:rPr>
                <w:rFonts w:ascii="仿宋_GB2312" w:eastAsia="仿宋_GB2312" w:hAnsi="仿宋_GB2312" w:cs="仿宋_GB2312" w:hint="eastAsia"/>
                <w:sz w:val="24"/>
              </w:rPr>
              <w:t>学时以上。</w:t>
            </w:r>
          </w:p>
          <w:p w:rsidR="00ED019F" w:rsidRDefault="00ED019F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5分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c>
          <w:tcPr>
            <w:tcW w:w="992" w:type="dxa"/>
            <w:vMerge w:val="restart"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服务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职能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（27分）</w:t>
            </w: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康复评估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1.出、入机构评估：粗大运动、精细运动、生活自理、言语沟通、认知、社交；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2.定期评估：每3个月评估一次，作为康复训练针对性的依据。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1.出、入机构评估：粗大运动、精细运动、生活自理、言语沟通、认知、社交； 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2.定期评估：每3个月评估一次，作为康复训练针对性的依据。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1.出、入机构评估：粗大运动、精细运动、生活自理、言语沟通、认知、社交；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2.定期评估：每3个月评估一次，作为康复训练针对性的依据。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3527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康复训练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1.每名患者机构内康复训练时间至少9个月；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主要内容：运动能力、感觉统合、言语交往、生活自理和社会适应能力；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3.康复训练应依据评估情况，制定训练计划和目标，依据每次评估适时调整训练计划，做到评估、训练、目标相一致；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4.开展引导式教育训练；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5.训练计划至少每周制定一次，每个孩子有独立训练记录。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1.每名患者机构内康复训练时间至少9个月；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2.主要内容：运动能力、感觉统合、言语交往、生活自理和社会适应能力；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康复训练应依据评估情况，制定训练计划和目标，依据每次评估适时调整训练计划，基本做到评估、训练、目标相一致；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4.开展引导式教育训练；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5.训练计划至少每周制定一次，每个孩子有独立训练记录。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1.每名患者机构内康复训练时间至少9个月；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2.主要内容：运动能力、感觉统合、言语交往、生活自理能力；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康复训练应依据评估情况，制定训练计划和目标，依据每次评估适时调整训练计划；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4.重视运用引导式教育方式；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5.训练计划至少每月制定一次，每个孩子有独立训练记录。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1967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8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8"/>
                <w:sz w:val="24"/>
              </w:rPr>
              <w:t>基本康复训练每日至少8课时（4小时）：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7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1.</w:t>
            </w:r>
            <w:r w:rsidR="00E16F46"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集体课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至少1课时（0.5小时）；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7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2.组别/</w:t>
            </w:r>
            <w:r w:rsidR="00E16F46"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小组课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至少3课时（1.5小时）；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7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3.</w:t>
            </w:r>
            <w:r w:rsidR="00E16F46"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个训课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至少1课时（0.5小时）；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4.运动训练/感觉统合训练至少2课时（1小时）。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基本康复训练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日至少8课时（4小时）：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1.</w:t>
            </w:r>
            <w:r w:rsidR="00E16F46"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集体课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至少2课时（1小时）；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2.组别/</w:t>
            </w:r>
            <w:r w:rsidR="00E16F46"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小组课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至少2课时（1小时）；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</w:t>
            </w:r>
            <w:r w:rsidR="00E16F46"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个训课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至少1课时（0.5小时）；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4.运动训练/感觉统合训练至少2课时（1小时）。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基本康复训练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日至少8课时（4小时）：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1.</w:t>
            </w:r>
            <w:r w:rsidR="00E16F46"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集体课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至少3课时（1.5小时）；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2.组别/</w:t>
            </w:r>
            <w:r w:rsidR="00E16F46"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小组课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至少1课时（0.5小时）；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</w:t>
            </w:r>
            <w:r w:rsidR="00E16F46"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个训课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至少1课时（0.5小时）；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4.运动训练/感觉统合训练至少2课时（1小时）。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 w:rsidTr="008D3EAA">
        <w:trPr>
          <w:trHeight w:val="319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每名患者每周至少进行1次音乐游戏活动，每次至少0.5小时；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每名患者每月至少进行1次社会融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合活动，每次至少1小时。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每名患每周至少进行1次音乐游戏活动，每次至少0.5小时；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每名患者每月至少进行1次社会融合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活动，每次至少1小时。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每名患者每月至少进行1次社会融合活动，每次至少0.5小时。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1288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</w:p>
        </w:tc>
        <w:tc>
          <w:tcPr>
            <w:tcW w:w="3825" w:type="dxa"/>
            <w:vAlign w:val="center"/>
          </w:tcPr>
          <w:p w:rsidR="00ED019F" w:rsidRDefault="00E16F46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集体</w:t>
            </w:r>
            <w:r w:rsidR="007C6049">
              <w:rPr>
                <w:rFonts w:ascii="仿宋_GB2312" w:eastAsia="仿宋_GB2312" w:hAnsi="仿宋_GB2312" w:cs="仿宋_GB2312" w:hint="eastAsia"/>
                <w:sz w:val="24"/>
              </w:rPr>
              <w:t>课：患者能力分析准确，目标制定适当，教案规范，课堂组织实施顺畅，方法手段多样，总体目标实现90%以上。</w:t>
            </w:r>
          </w:p>
        </w:tc>
        <w:tc>
          <w:tcPr>
            <w:tcW w:w="4055" w:type="dxa"/>
            <w:vAlign w:val="center"/>
          </w:tcPr>
          <w:p w:rsidR="00ED019F" w:rsidRDefault="00E16F46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集体</w:t>
            </w:r>
            <w:r w:rsidR="007C6049">
              <w:rPr>
                <w:rFonts w:ascii="仿宋_GB2312" w:eastAsia="仿宋_GB2312" w:hAnsi="仿宋_GB2312" w:cs="仿宋_GB2312" w:hint="eastAsia"/>
                <w:sz w:val="24"/>
              </w:rPr>
              <w:t>课：患者能力分析准确，目标制定适当，教案规范，课堂组织实施顺畅，方法手段多样，总体目标实现85%以上。</w:t>
            </w:r>
          </w:p>
        </w:tc>
        <w:tc>
          <w:tcPr>
            <w:tcW w:w="4161" w:type="dxa"/>
            <w:vAlign w:val="center"/>
          </w:tcPr>
          <w:p w:rsidR="00ED019F" w:rsidRDefault="00E16F46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集体</w:t>
            </w:r>
            <w:r w:rsidR="007C6049">
              <w:rPr>
                <w:rFonts w:ascii="仿宋_GB2312" w:eastAsia="仿宋_GB2312" w:hAnsi="仿宋_GB2312" w:cs="仿宋_GB2312" w:hint="eastAsia"/>
                <w:sz w:val="24"/>
              </w:rPr>
              <w:t>课：患者能力分析准确，目标制定适当，教案规范，课堂组织实施顺畅，方法手段多样，总体目标实现80%以上。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1178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</w:p>
        </w:tc>
        <w:tc>
          <w:tcPr>
            <w:tcW w:w="3825" w:type="dxa"/>
            <w:vAlign w:val="center"/>
          </w:tcPr>
          <w:p w:rsidR="00ED019F" w:rsidRDefault="00E16F46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小组</w:t>
            </w:r>
            <w:r w:rsidR="007C6049">
              <w:rPr>
                <w:rFonts w:ascii="仿宋_GB2312" w:eastAsia="仿宋_GB2312" w:hAnsi="仿宋_GB2312" w:cs="仿宋_GB2312" w:hint="eastAsia"/>
                <w:sz w:val="24"/>
              </w:rPr>
              <w:t>课：患者能力分析准确，目标制定适当，课堂组织实施顺畅、方法手段多样、总体目标实现90%以上。</w:t>
            </w:r>
          </w:p>
        </w:tc>
        <w:tc>
          <w:tcPr>
            <w:tcW w:w="4055" w:type="dxa"/>
            <w:vAlign w:val="center"/>
          </w:tcPr>
          <w:p w:rsidR="00ED019F" w:rsidRDefault="00E16F46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小组</w:t>
            </w:r>
            <w:r w:rsidR="007C6049">
              <w:rPr>
                <w:rFonts w:ascii="仿宋_GB2312" w:eastAsia="仿宋_GB2312" w:hAnsi="仿宋_GB2312" w:cs="仿宋_GB2312" w:hint="eastAsia"/>
                <w:sz w:val="24"/>
              </w:rPr>
              <w:t>课：患者能力分析准确，目标制定适当，课堂组织实施顺畅、方法手段多样，总体目标实现85%以上。</w:t>
            </w:r>
          </w:p>
        </w:tc>
        <w:tc>
          <w:tcPr>
            <w:tcW w:w="4161" w:type="dxa"/>
            <w:vAlign w:val="center"/>
          </w:tcPr>
          <w:p w:rsidR="00ED019F" w:rsidRDefault="00E16F46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小组</w:t>
            </w:r>
            <w:r w:rsidR="007C6049">
              <w:rPr>
                <w:rFonts w:ascii="仿宋_GB2312" w:eastAsia="仿宋_GB2312" w:hAnsi="仿宋_GB2312" w:cs="仿宋_GB2312" w:hint="eastAsia"/>
                <w:sz w:val="24"/>
              </w:rPr>
              <w:t>课：患者能力分析准确，目标制定适当，课堂组织实施顺畅、方法手段多样，总体目标实现80%以上。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 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1267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</w:p>
        </w:tc>
        <w:tc>
          <w:tcPr>
            <w:tcW w:w="3825" w:type="dxa"/>
            <w:vAlign w:val="center"/>
          </w:tcPr>
          <w:p w:rsidR="00ED019F" w:rsidRDefault="00E16F46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个训</w:t>
            </w:r>
            <w:r w:rsidR="007C6049">
              <w:rPr>
                <w:rFonts w:ascii="仿宋_GB2312" w:eastAsia="仿宋_GB2312" w:hAnsi="仿宋_GB2312" w:cs="仿宋_GB2312" w:hint="eastAsia"/>
                <w:sz w:val="24"/>
              </w:rPr>
              <w:t>课：主要在认知、言语、运动训练等方面。患者能力分析准确，目标制定适当，每名儿童目标实现90%以上。</w:t>
            </w:r>
          </w:p>
        </w:tc>
        <w:tc>
          <w:tcPr>
            <w:tcW w:w="4055" w:type="dxa"/>
            <w:vAlign w:val="center"/>
          </w:tcPr>
          <w:p w:rsidR="00ED019F" w:rsidRDefault="00E16F46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个训</w:t>
            </w:r>
            <w:r w:rsidR="007C6049">
              <w:rPr>
                <w:rFonts w:ascii="仿宋_GB2312" w:eastAsia="仿宋_GB2312" w:hAnsi="仿宋_GB2312" w:cs="仿宋_GB2312" w:hint="eastAsia"/>
                <w:sz w:val="24"/>
              </w:rPr>
              <w:t>课：主要在认知、言语、运动训练等方面。患者能力分析准确，目标制定适当，每名儿童目标实现85%以上。</w:t>
            </w:r>
          </w:p>
        </w:tc>
        <w:tc>
          <w:tcPr>
            <w:tcW w:w="4161" w:type="dxa"/>
            <w:vAlign w:val="center"/>
          </w:tcPr>
          <w:p w:rsidR="00ED019F" w:rsidRDefault="00E16F46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个训</w:t>
            </w:r>
            <w:r w:rsidR="007C6049">
              <w:rPr>
                <w:rFonts w:ascii="仿宋_GB2312" w:eastAsia="仿宋_GB2312" w:hAnsi="仿宋_GB2312" w:cs="仿宋_GB2312" w:hint="eastAsia"/>
                <w:sz w:val="24"/>
              </w:rPr>
              <w:t>课：主要在认知、言语、运动训练等方面。患者能力分析准确，目标制定适当，每名儿童目标实现80%以上。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 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blPrEx>
          <w:tblCellMar>
            <w:left w:w="0" w:type="dxa"/>
            <w:right w:w="0" w:type="dxa"/>
          </w:tblCellMar>
        </w:tblPrEx>
        <w:trPr>
          <w:trHeight w:val="571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中医治疗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推拿、针炙治疗。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推拿。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推拿。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2306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社区指导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家长培训每月至少1次，每次至少1小时；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2.家庭康复指导每月至少2次，每次至少0.5小时；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3.开展有效转介和后续跟踪服务；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4.开展残疾预防宣传教育每年至少4次。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家长培训每月至少1次，每次至少1小时；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2.家庭康复指导每月至少2次，每次至少0.5小时；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3.开展有效转介和后续跟踪服务；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4.开展残疾预防宣传教育每年至少4次。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家长培训每月至少1次，每次至少1小时；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2.家庭康复指导每月至少2次，每次至少0.5小时；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3.开展有效转介和后续跟踪服务；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4.开展残疾预防宣传教育每年至少4次。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1023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康复工程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针对肢体残疾情况制作、安装矫形器，利用康复设备、矫形器、辅助器具等进行康复训练。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利用康复设备、矫形器、辅助器具等进行康复训练。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利用康复设备、矫形器、辅助器具等进行康复训练。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1023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档案管理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1.建立儿童康复训练与评估档案（含文字、图片、音像资料）、授课教案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等业务档案</w:t>
            </w:r>
            <w:r w:rsidR="004F71D7"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spacing w:val="-9"/>
                <w:kern w:val="0"/>
                <w:sz w:val="24"/>
              </w:rPr>
              <w:t>儿童训练档案有月目标，周目标，训练记录，完成情况，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数据准确可靠，资料保存完整，定期进行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lastRenderedPageBreak/>
              <w:t>分析总结；</w:t>
            </w:r>
          </w:p>
          <w:p w:rsidR="00ED019F" w:rsidRDefault="007C6049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2.专业</w:t>
            </w:r>
            <w:r w:rsidR="008D3EAA"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技术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人员培训及家长培训等建立档案；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3.与家长（亲友）签订康复协议。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lastRenderedPageBreak/>
              <w:t>1.建立儿童康复训练与评估档案（含文字、图片、音像资料）、授课教案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等业务档案</w:t>
            </w:r>
            <w:r w:rsidR="004F71D7"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spacing w:val="-9"/>
                <w:kern w:val="0"/>
                <w:sz w:val="24"/>
              </w:rPr>
              <w:t>儿童训练档案有月目标，周目标，训练记录，完成情况，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数据准确可靠，资料保存完整，定期进行分析总结；</w:t>
            </w:r>
          </w:p>
          <w:p w:rsidR="00ED019F" w:rsidRDefault="007C6049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lastRenderedPageBreak/>
              <w:t>2.专业</w:t>
            </w:r>
            <w:r w:rsidR="008D3EAA"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技术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人员培训及家长培训等建立档案；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3.与家长（亲友）签订康复协议。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lastRenderedPageBreak/>
              <w:t>1.建立儿童康复训练与评估档案（含文字、图片、音像资料）、授课教案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等业务档案</w:t>
            </w:r>
            <w:r w:rsidR="004F71D7"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spacing w:val="-9"/>
                <w:kern w:val="0"/>
                <w:sz w:val="24"/>
              </w:rPr>
              <w:t>儿童训练档案有月目标，周目标，训练记录，完成情况，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数据准确可靠，资料保存完整，定期进行分析总结；</w:t>
            </w:r>
          </w:p>
          <w:p w:rsidR="00ED019F" w:rsidRDefault="007C6049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lastRenderedPageBreak/>
              <w:t>2.专业</w:t>
            </w:r>
            <w:r w:rsidR="008D3EAA"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技术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人员培训及家长培训等建立档案；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3.与家长（亲友）签订康复协议。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2分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773"/>
        </w:trPr>
        <w:tc>
          <w:tcPr>
            <w:tcW w:w="992" w:type="dxa"/>
            <w:vMerge w:val="restart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lastRenderedPageBreak/>
              <w:t>质量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控制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（20分）</w:t>
            </w: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康复效果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1.康复评估率100%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2.康复档案建立率100%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3.针对患者康复需求使用矫形器100%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4.康复训练总有效率90%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5.家长培训率100%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6.家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长对康复服务满意率90%以上；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7. 回访跟踪服务率60%。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1.康复评估率100%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2.康复档案建立率100%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3.针对患者康复需求使用矫形器100%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4.康复训练总有效率85%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5.家长培训率100%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6.家长对康复服务满意率90%以上；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7. 回访跟踪服务率60%。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1.康复评估率100%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2.康复档案建立率100%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3.针对患者康复需求使用矫形器100%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4.康复训练总有效率 85%；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5.家长培训率100% 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6.家长对康复服务满意率90%以上；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7.回访跟踪服务率60%。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14分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2311"/>
        </w:trPr>
        <w:tc>
          <w:tcPr>
            <w:tcW w:w="992" w:type="dxa"/>
            <w:vMerge/>
            <w:vAlign w:val="center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任务完成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napToGrid w:val="0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spacing w:val="-20"/>
                <w:kern w:val="0"/>
                <w:sz w:val="24"/>
              </w:rPr>
              <w:t>情况</w:t>
            </w:r>
          </w:p>
        </w:tc>
        <w:tc>
          <w:tcPr>
            <w:tcW w:w="382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1.每年100%完成属地残联下达的康复训练和康复知识、残疾预防宣传任务；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2.发挥技术中心作用，每年组织培训脑瘫康复机构技术骨干不少于30人；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3.每年按残联要求组织人员指导其他机构工作。</w:t>
            </w:r>
          </w:p>
        </w:tc>
        <w:tc>
          <w:tcPr>
            <w:tcW w:w="4055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1.每年100%完成属地残联下达的康复训练和康复知识、残疾预防宣传任务；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2.每年按属地残联要求完成康复技术人员和乡镇（街道）康复指导员（协调员）培训任务。　　</w:t>
            </w:r>
          </w:p>
        </w:tc>
        <w:tc>
          <w:tcPr>
            <w:tcW w:w="4161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1.每年100%完成属地残联下达的康复训练和康复知识、残疾预防宣传任务；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2.每年按属地残联要求完成康复技术人员和乡镇（街道）康复指导员（协调员）培训任务。　　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ED019F">
        <w:trPr>
          <w:trHeight w:val="586"/>
        </w:trPr>
        <w:tc>
          <w:tcPr>
            <w:tcW w:w="992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加分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项目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（5分）</w:t>
            </w:r>
          </w:p>
        </w:tc>
        <w:tc>
          <w:tcPr>
            <w:tcW w:w="13174" w:type="dxa"/>
            <w:gridSpan w:val="4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纳入医保报销加5分。</w:t>
            </w:r>
          </w:p>
        </w:tc>
        <w:tc>
          <w:tcPr>
            <w:tcW w:w="709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5分</w:t>
            </w:r>
          </w:p>
        </w:tc>
        <w:tc>
          <w:tcPr>
            <w:tcW w:w="700" w:type="dxa"/>
          </w:tcPr>
          <w:p w:rsidR="00ED019F" w:rsidRDefault="00ED019F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</w:tr>
      <w:tr w:rsidR="00ED019F">
        <w:trPr>
          <w:trHeight w:val="586"/>
        </w:trPr>
        <w:tc>
          <w:tcPr>
            <w:tcW w:w="992" w:type="dxa"/>
            <w:vAlign w:val="center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备注</w:t>
            </w:r>
          </w:p>
        </w:tc>
        <w:tc>
          <w:tcPr>
            <w:tcW w:w="14583" w:type="dxa"/>
            <w:gridSpan w:val="6"/>
          </w:tcPr>
          <w:p w:rsidR="00ED019F" w:rsidRDefault="007C6049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1.认证按康复机构申报级别进行；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2.认证总分105分；</w:t>
            </w:r>
          </w:p>
          <w:p w:rsidR="00ED019F" w:rsidRDefault="007C6049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3.每级别得分达到90分（含90分）以上为合格，90分以下为不合格。</w:t>
            </w:r>
          </w:p>
        </w:tc>
      </w:tr>
    </w:tbl>
    <w:p w:rsidR="00ED019F" w:rsidRDefault="00ED019F"/>
    <w:sectPr w:rsidR="00ED019F">
      <w:headerReference w:type="default" r:id="rId9"/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71C" w:rsidRDefault="00E4171C">
      <w:r>
        <w:separator/>
      </w:r>
    </w:p>
  </w:endnote>
  <w:endnote w:type="continuationSeparator" w:id="0">
    <w:p w:rsidR="00E4171C" w:rsidRDefault="00E4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71C" w:rsidRDefault="00E4171C">
      <w:r>
        <w:separator/>
      </w:r>
    </w:p>
  </w:footnote>
  <w:footnote w:type="continuationSeparator" w:id="0">
    <w:p w:rsidR="00E4171C" w:rsidRDefault="00E41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19F" w:rsidRDefault="00ED019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34AE9"/>
    <w:multiLevelType w:val="singleLevel"/>
    <w:tmpl w:val="53434AE9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9F"/>
    <w:rsid w:val="00060926"/>
    <w:rsid w:val="004F71D7"/>
    <w:rsid w:val="007C6049"/>
    <w:rsid w:val="008D3EAA"/>
    <w:rsid w:val="00D975A5"/>
    <w:rsid w:val="00DA7327"/>
    <w:rsid w:val="00E0198B"/>
    <w:rsid w:val="00E16F46"/>
    <w:rsid w:val="00E4171C"/>
    <w:rsid w:val="00ED019F"/>
    <w:rsid w:val="00F0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">
    <w:name w:val="批注框文本 Char Char"/>
    <w:basedOn w:val="a"/>
    <w:link w:val="CharCharCharChar"/>
    <w:rPr>
      <w:sz w:val="18"/>
      <w:szCs w:val="18"/>
    </w:rPr>
  </w:style>
  <w:style w:type="character" w:customStyle="1" w:styleId="Char0">
    <w:name w:val="页脚 Char"/>
    <w:link w:val="a4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link w:val="a5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CharCharChar">
    <w:name w:val="批注框文本 Char Char Char Char"/>
    <w:link w:val="CharChar"/>
    <w:semiHidden/>
    <w:rPr>
      <w:rFonts w:ascii="Times New Roman" w:hAnsi="Times New Roman"/>
      <w:kern w:val="2"/>
      <w:sz w:val="18"/>
      <w:szCs w:val="18"/>
    </w:rPr>
  </w:style>
  <w:style w:type="character" w:customStyle="1" w:styleId="Char">
    <w:name w:val="批注框文本 Char"/>
    <w:link w:val="a3"/>
    <w:semiHidden/>
    <w:rPr>
      <w:rFonts w:ascii="Times New Roman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">
    <w:name w:val="批注框文本 Char Char"/>
    <w:basedOn w:val="a"/>
    <w:link w:val="CharCharCharChar"/>
    <w:rPr>
      <w:sz w:val="18"/>
      <w:szCs w:val="18"/>
    </w:rPr>
  </w:style>
  <w:style w:type="character" w:customStyle="1" w:styleId="Char0">
    <w:name w:val="页脚 Char"/>
    <w:link w:val="a4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link w:val="a5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CharCharChar">
    <w:name w:val="批注框文本 Char Char Char Char"/>
    <w:link w:val="CharChar"/>
    <w:semiHidden/>
    <w:rPr>
      <w:rFonts w:ascii="Times New Roman" w:hAnsi="Times New Roman"/>
      <w:kern w:val="2"/>
      <w:sz w:val="18"/>
      <w:szCs w:val="18"/>
    </w:rPr>
  </w:style>
  <w:style w:type="character" w:customStyle="1" w:styleId="Char">
    <w:name w:val="批注框文本 Char"/>
    <w:link w:val="a3"/>
    <w:semiHidden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1007</Words>
  <Characters>5742</Characters>
  <Application>Microsoft Office Word</Application>
  <DocSecurity>0</DocSecurity>
  <Lines>47</Lines>
  <Paragraphs>13</Paragraphs>
  <ScaleCrop>false</ScaleCrop>
  <Company/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陈军</dc:creator>
  <cp:lastModifiedBy>杨 洋</cp:lastModifiedBy>
  <cp:revision>2</cp:revision>
  <cp:lastPrinted>2014-06-13T01:13:00Z</cp:lastPrinted>
  <dcterms:created xsi:type="dcterms:W3CDTF">2018-07-24T01:53:00Z</dcterms:created>
  <dcterms:modified xsi:type="dcterms:W3CDTF">2018-07-24T01:53:00Z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